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DA81A">
      <w:pPr>
        <w:numPr>
          <w:ilvl w:val="0"/>
          <w:numId w:val="0"/>
        </w:numPr>
        <w:spacing w:line="460" w:lineRule="exact"/>
        <w:jc w:val="center"/>
        <w:rPr>
          <w:rFonts w:ascii="仿宋" w:hAnsi="仿宋" w:eastAsia="仿宋" w:cs="仿宋"/>
          <w:b/>
          <w:sz w:val="28"/>
          <w:szCs w:val="28"/>
        </w:rPr>
      </w:pPr>
      <w:bookmarkStart w:id="0" w:name="_GoBack"/>
      <w:bookmarkEnd w:id="0"/>
      <w:r>
        <w:rPr>
          <w:rFonts w:hint="eastAsia" w:ascii="仿宋" w:hAnsi="仿宋" w:eastAsia="仿宋" w:cs="仿宋"/>
          <w:b/>
          <w:sz w:val="28"/>
          <w:szCs w:val="28"/>
        </w:rPr>
        <w:t>安徽省歙县岔口镇硫铁矿出售</w:t>
      </w:r>
    </w:p>
    <w:p w14:paraId="2890B857">
      <w:pPr>
        <w:numPr>
          <w:ilvl w:val="0"/>
          <w:numId w:val="0"/>
        </w:numPr>
        <w:spacing w:line="460" w:lineRule="exact"/>
        <w:rPr>
          <w:rFonts w:ascii="仿宋" w:hAnsi="仿宋" w:eastAsia="仿宋" w:cs="仿宋"/>
          <w:b/>
          <w:sz w:val="28"/>
          <w:szCs w:val="28"/>
        </w:rPr>
      </w:pPr>
      <w:r>
        <w:rPr>
          <w:rFonts w:hint="eastAsia" w:ascii="仿宋" w:hAnsi="仿宋" w:eastAsia="仿宋" w:cs="仿宋"/>
          <w:b/>
          <w:sz w:val="28"/>
          <w:szCs w:val="28"/>
          <w:lang w:val="en-US" w:eastAsia="zh-CN"/>
        </w:rPr>
        <w:t>一、</w:t>
      </w:r>
      <w:r>
        <w:rPr>
          <w:rFonts w:hint="eastAsia" w:ascii="仿宋" w:hAnsi="仿宋" w:eastAsia="仿宋" w:cs="仿宋"/>
          <w:b/>
          <w:sz w:val="28"/>
          <w:szCs w:val="28"/>
        </w:rPr>
        <w:t>项目概况</w:t>
      </w:r>
    </w:p>
    <w:p w14:paraId="6C3BEA8F">
      <w:pPr>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59264" behindDoc="0" locked="0" layoutInCell="1" allowOverlap="1">
            <wp:simplePos x="0" y="0"/>
            <wp:positionH relativeFrom="column">
              <wp:posOffset>76200</wp:posOffset>
            </wp:positionH>
            <wp:positionV relativeFrom="paragraph">
              <wp:posOffset>2165350</wp:posOffset>
            </wp:positionV>
            <wp:extent cx="5175885" cy="3707130"/>
            <wp:effectExtent l="19050" t="0" r="5715" b="0"/>
            <wp:wrapTopAndBottom/>
            <wp:docPr id="1" name="图片 1" descr="茶园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茶园坪"/>
                    <pic:cNvPicPr>
                      <a:picLocks noChangeAspect="1"/>
                    </pic:cNvPicPr>
                  </pic:nvPicPr>
                  <pic:blipFill>
                    <a:blip r:embed="rId4" cstate="print"/>
                    <a:stretch>
                      <a:fillRect/>
                    </a:stretch>
                  </pic:blipFill>
                  <pic:spPr>
                    <a:xfrm>
                      <a:off x="0" y="0"/>
                      <a:ext cx="5175885" cy="3707130"/>
                    </a:xfrm>
                    <a:prstGeom prst="rect">
                      <a:avLst/>
                    </a:prstGeom>
                    <a:noFill/>
                    <a:ln>
                      <a:noFill/>
                    </a:ln>
                  </pic:spPr>
                </pic:pic>
              </a:graphicData>
            </a:graphic>
          </wp:anchor>
        </w:drawing>
      </w:r>
      <w:r>
        <w:rPr>
          <w:rFonts w:hint="eastAsia" w:ascii="仿宋" w:hAnsi="仿宋" w:eastAsia="仿宋" w:cs="仿宋"/>
          <w:sz w:val="28"/>
          <w:szCs w:val="28"/>
        </w:rPr>
        <w:t>安徽省歙县岔口镇鸟雀坪-茶园坪地区硫铁矿位于歙县县城85°方位直线距离38km，皖浙两省省界西侧，隶属岔口镇管辖。矿区地貌属皖南中低山区，地势总体西低东高。最低处位于查区西侧外围大源，海拔仅190m，最高山峰四份尖位于查区北东侧外围，海拔1061.4 m，一般在600—900m之间。矿区气候属亚热带湿润性季风气候区，四季分明，气候湿润多雨，年平均气温16.4℃。区内经济以农业为主，水、电和劳动力资源充沛。各个乡镇均有公路相连，交通便利。</w:t>
      </w:r>
    </w:p>
    <w:p w14:paraId="11F3EDF7">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地质概况</w:t>
      </w:r>
    </w:p>
    <w:p w14:paraId="55EC14C7">
      <w:pPr>
        <w:widowControl/>
        <w:spacing w:line="46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矿区地处华南地层大区杨子地层小区江南地层分区，成矿区划属江南隆起带多金属成矿带、歙县—淳安硫铁、铅锌成矿远景区，区域成矿背景优越。</w:t>
      </w:r>
    </w:p>
    <w:p w14:paraId="3F249628">
      <w:pPr>
        <w:widowControl/>
        <w:spacing w:line="46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矿区出露地层齐全，自老至新依次为震旦系下统休宁组、南沱组，震旦系上统蓝田组、皮园村组及寒武系下统荷塘组，其中震旦系蓝田组二段的黑白相间条纹状炭泥质板岩为硫铁矿体的核心赋存层位。构造上，矿区位于长春坞--西山倒转复向斜北西翼，发育北东向、北西向两组断裂，整体构造格局清晰；岩浆岩方面，区内仅见少量辉绿岩</w:t>
      </w:r>
      <w:r>
        <w:rPr>
          <w:rFonts w:hint="eastAsia" w:ascii="仿宋" w:hAnsi="仿宋" w:eastAsia="仿宋" w:cs="仿宋"/>
          <w:kern w:val="0"/>
          <w:sz w:val="28"/>
          <w:szCs w:val="28"/>
        </w:rPr>
        <w:drawing>
          <wp:anchor distT="0" distB="0" distL="114300" distR="114300" simplePos="0" relativeHeight="251661312" behindDoc="0" locked="0" layoutInCell="1" allowOverlap="1">
            <wp:simplePos x="0" y="0"/>
            <wp:positionH relativeFrom="column">
              <wp:posOffset>219075</wp:posOffset>
            </wp:positionH>
            <wp:positionV relativeFrom="paragraph">
              <wp:posOffset>706755</wp:posOffset>
            </wp:positionV>
            <wp:extent cx="5264785" cy="2778760"/>
            <wp:effectExtent l="19050" t="0" r="0" b="0"/>
            <wp:wrapTopAndBottom/>
            <wp:docPr id="4" name="图片 2" descr="茶园坪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茶园坪红线"/>
                    <pic:cNvPicPr>
                      <a:picLocks noChangeAspect="1"/>
                    </pic:cNvPicPr>
                  </pic:nvPicPr>
                  <pic:blipFill>
                    <a:blip r:embed="rId5" cstate="print"/>
                    <a:stretch>
                      <a:fillRect/>
                    </a:stretch>
                  </pic:blipFill>
                  <pic:spPr>
                    <a:xfrm>
                      <a:off x="0" y="0"/>
                      <a:ext cx="5264785" cy="2778760"/>
                    </a:xfrm>
                    <a:prstGeom prst="rect">
                      <a:avLst/>
                    </a:prstGeom>
                    <a:noFill/>
                    <a:ln>
                      <a:noFill/>
                    </a:ln>
                  </pic:spPr>
                </pic:pic>
              </a:graphicData>
            </a:graphic>
          </wp:anchor>
        </w:drawing>
      </w:r>
      <w:r>
        <w:rPr>
          <w:rFonts w:hint="eastAsia" w:ascii="仿宋" w:hAnsi="仿宋" w:eastAsia="仿宋" w:cs="仿宋"/>
          <w:kern w:val="0"/>
          <w:sz w:val="28"/>
          <w:szCs w:val="28"/>
        </w:rPr>
        <w:t>脉、闪长玢岩脉，规模较小且未对主要矿体造成明显破坏。</w:t>
      </w:r>
    </w:p>
    <w:p w14:paraId="2846F131">
      <w:pPr>
        <w:widowControl/>
        <w:spacing w:line="46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探矿权勘查区范围与生态保护红线、自然保护地、水源保护区等生态敏感区不重叠。</w:t>
      </w:r>
    </w:p>
    <w:p w14:paraId="17421027">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矿体特征</w:t>
      </w:r>
    </w:p>
    <w:p w14:paraId="6B3D41AA">
      <w:pPr>
        <w:spacing w:line="360" w:lineRule="auto"/>
        <w:ind w:firstLine="560" w:firstLineChars="200"/>
        <w:rPr>
          <w:rFonts w:ascii="仿宋" w:hAnsi="仿宋" w:eastAsia="仿宋" w:cs="仿宋"/>
          <w:sz w:val="28"/>
          <w:szCs w:val="28"/>
        </w:rPr>
      </w:pPr>
      <w:r>
        <w:rPr>
          <w:rFonts w:hint="eastAsia" w:ascii="仿宋" w:hAnsi="仿宋" w:eastAsia="仿宋" w:cs="仿宋"/>
          <w:color w:val="000000"/>
          <w:sz w:val="28"/>
          <w:szCs w:val="28"/>
        </w:rPr>
        <w:t>矿区</w:t>
      </w:r>
      <w:r>
        <w:rPr>
          <w:rFonts w:hint="eastAsia" w:ascii="仿宋" w:hAnsi="仿宋" w:eastAsia="仿宋" w:cs="仿宋"/>
          <w:sz w:val="28"/>
          <w:szCs w:val="28"/>
        </w:rPr>
        <w:t>内分布的硫铁矿矿（化）体主要赋存于蓝田组地层（第二段炭质板岩）内，</w:t>
      </w:r>
      <w:r>
        <w:rPr>
          <w:rFonts w:hint="eastAsia" w:ascii="仿宋" w:hAnsi="仿宋" w:eastAsia="仿宋" w:cs="仿宋"/>
          <w:sz w:val="28"/>
          <w:szCs w:val="28"/>
          <w:lang w:val="eu-ES"/>
        </w:rPr>
        <w:t>受层位及褶皱构造控制明显</w:t>
      </w:r>
      <w:r>
        <w:rPr>
          <w:rFonts w:hint="eastAsia" w:ascii="仿宋" w:hAnsi="仿宋" w:eastAsia="仿宋" w:cs="仿宋"/>
          <w:sz w:val="28"/>
          <w:szCs w:val="28"/>
        </w:rPr>
        <w:t>，</w:t>
      </w:r>
      <w:r>
        <w:rPr>
          <w:rFonts w:hint="eastAsia" w:ascii="仿宋" w:hAnsi="仿宋" w:eastAsia="仿宋" w:cs="仿宋"/>
          <w:color w:val="000000"/>
          <w:sz w:val="28"/>
          <w:szCs w:val="28"/>
        </w:rPr>
        <w:t>目前共圈定矿体2条，即</w:t>
      </w:r>
      <w:r>
        <w:rPr>
          <w:rFonts w:hint="eastAsia" w:ascii="仿宋" w:hAnsi="仿宋" w:eastAsia="仿宋" w:cs="仿宋"/>
          <w:sz w:val="28"/>
          <w:szCs w:val="28"/>
          <w:lang w:val="eu-ES"/>
        </w:rPr>
        <w:t>茶园坪～林安尖段圈定硫铁矿矿体一个，编号为：Ⅰ号，</w:t>
      </w:r>
      <w:r>
        <w:rPr>
          <w:rFonts w:hint="eastAsia" w:ascii="仿宋" w:hAnsi="仿宋" w:eastAsia="仿宋" w:cs="仿宋"/>
          <w:sz w:val="28"/>
          <w:szCs w:val="28"/>
        </w:rPr>
        <w:t>在鸟鹊坪段圈定硫铁矿矿体一个，编号为：Ⅱ号。硫铁矿体地质特征如下：</w:t>
      </w:r>
    </w:p>
    <w:p w14:paraId="254E14E2">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lang w:val="eu-ES"/>
        </w:rPr>
        <w:t>茶园坪～林安尖段（Ⅰ）</w:t>
      </w:r>
      <w:r>
        <w:rPr>
          <w:rFonts w:hint="eastAsia" w:ascii="仿宋" w:hAnsi="仿宋" w:eastAsia="仿宋" w:cs="仿宋"/>
          <w:sz w:val="28"/>
          <w:szCs w:val="28"/>
        </w:rPr>
        <w:t>：矿体位于蓝田组下部炭质板岩内，矿层沿走向厚度稳定，倾向、产状、形态变化较大，受褶皱形态控制，在褶皱虚脱部位矿层加厚。矿层顶板多为薄层炭质板岩夹薄层灰岩，底部多为炭质板岩。矿体走向长约1200m，</w:t>
      </w:r>
      <w:r>
        <w:rPr>
          <w:rFonts w:hint="eastAsia" w:ascii="仿宋" w:hAnsi="仿宋" w:eastAsia="仿宋" w:cs="仿宋"/>
          <w:sz w:val="28"/>
          <w:szCs w:val="28"/>
          <w:lang w:val="eu-ES"/>
        </w:rPr>
        <w:t>水平宽230米～160米不等，矿体视厚1.92米～10.32米，</w:t>
      </w:r>
      <w:r>
        <w:rPr>
          <w:rFonts w:hint="eastAsia" w:ascii="仿宋" w:hAnsi="仿宋" w:eastAsia="仿宋" w:cs="仿宋"/>
          <w:sz w:val="28"/>
          <w:szCs w:val="28"/>
        </w:rPr>
        <w:t>局部厚度较大,达27.10米，矿层平均厚度约为4.5</w:t>
      </w:r>
      <w:r>
        <w:rPr>
          <w:rFonts w:hint="eastAsia" w:ascii="仿宋" w:hAnsi="仿宋" w:eastAsia="仿宋" w:cs="仿宋"/>
          <w:sz w:val="28"/>
          <w:szCs w:val="28"/>
          <w:lang w:val="eu-ES"/>
        </w:rPr>
        <w:t>米</w:t>
      </w:r>
      <w:r>
        <w:rPr>
          <w:rFonts w:hint="eastAsia" w:ascii="仿宋" w:hAnsi="仿宋" w:eastAsia="仿宋" w:cs="仿宋"/>
          <w:sz w:val="28"/>
          <w:szCs w:val="28"/>
        </w:rPr>
        <w:t>。</w:t>
      </w:r>
      <w:r>
        <w:rPr>
          <w:rFonts w:hint="eastAsia" w:ascii="仿宋" w:hAnsi="仿宋" w:eastAsia="仿宋" w:cs="仿宋"/>
          <w:sz w:val="28"/>
          <w:szCs w:val="28"/>
          <w:lang w:val="eu-ES"/>
        </w:rPr>
        <w:t>TS平均品位为14.97～25.65％，</w:t>
      </w:r>
      <w:r>
        <w:rPr>
          <w:rFonts w:hint="eastAsia" w:ascii="仿宋" w:hAnsi="仿宋" w:eastAsia="仿宋" w:cs="仿宋"/>
          <w:sz w:val="28"/>
          <w:szCs w:val="28"/>
        </w:rPr>
        <w:t xml:space="preserve">最高46.88%。  </w:t>
      </w:r>
    </w:p>
    <w:p w14:paraId="60194D8F">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2336" behindDoc="0" locked="0" layoutInCell="1" allowOverlap="1">
            <wp:simplePos x="0" y="0"/>
            <wp:positionH relativeFrom="column">
              <wp:posOffset>-81280</wp:posOffset>
            </wp:positionH>
            <wp:positionV relativeFrom="paragraph">
              <wp:posOffset>4664710</wp:posOffset>
            </wp:positionV>
            <wp:extent cx="5627370" cy="3707130"/>
            <wp:effectExtent l="19050" t="0" r="0" b="0"/>
            <wp:wrapTopAndBottom/>
            <wp:docPr id="5"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片1"/>
                    <pic:cNvPicPr>
                      <a:picLocks noChangeAspect="1"/>
                    </pic:cNvPicPr>
                  </pic:nvPicPr>
                  <pic:blipFill>
                    <a:blip r:embed="rId6" cstate="print"/>
                    <a:stretch>
                      <a:fillRect/>
                    </a:stretch>
                  </pic:blipFill>
                  <pic:spPr>
                    <a:xfrm>
                      <a:off x="0" y="0"/>
                      <a:ext cx="5627370" cy="3707130"/>
                    </a:xfrm>
                    <a:prstGeom prst="rect">
                      <a:avLst/>
                    </a:prstGeom>
                  </pic:spPr>
                </pic:pic>
              </a:graphicData>
            </a:graphic>
          </wp:anchor>
        </w:drawing>
      </w:r>
      <w:r>
        <w:rPr>
          <w:rFonts w:hint="eastAsia" w:ascii="仿宋" w:hAnsi="仿宋" w:eastAsia="仿宋" w:cs="仿宋"/>
          <w:sz w:val="28"/>
          <w:szCs w:val="28"/>
        </w:rPr>
        <w:t>茶园坪一带对以往盗采矿洞进行了平巷编录并取样分析，在矿洞里发现的硫铁矿矿体分布在蓝田组第二段含黄铁矿的炭质板岩内，矿体宽约2.2～27.10</w:t>
      </w:r>
      <w:r>
        <w:rPr>
          <w:rFonts w:hint="eastAsia" w:ascii="仿宋" w:hAnsi="仿宋" w:eastAsia="仿宋" w:cs="仿宋"/>
          <w:sz w:val="28"/>
          <w:szCs w:val="28"/>
          <w:lang w:val="eu-ES"/>
        </w:rPr>
        <w:t>米</w:t>
      </w:r>
      <w:r>
        <w:rPr>
          <w:rFonts w:hint="eastAsia" w:ascii="仿宋" w:hAnsi="仿宋" w:eastAsia="仿宋" w:cs="仿宋"/>
          <w:sz w:val="28"/>
          <w:szCs w:val="28"/>
        </w:rPr>
        <w:t>。据化学分析结果显示，TS总的平均品位为23.39％，最高品位为39.65％。</w:t>
      </w:r>
    </w:p>
    <w:p w14:paraId="0CAE6C4C">
      <w:pPr>
        <w:spacing w:line="360" w:lineRule="auto"/>
        <w:ind w:firstLine="468" w:firstLineChars="195"/>
        <w:rPr>
          <w:rFonts w:ascii="仿宋" w:hAnsi="仿宋" w:eastAsia="仿宋" w:cs="仿宋"/>
          <w:sz w:val="28"/>
          <w:szCs w:val="28"/>
        </w:rPr>
      </w:pPr>
      <w:r>
        <w:rPr>
          <w:sz w:val="24"/>
        </w:rPr>
        <w:drawing>
          <wp:anchor distT="0" distB="0" distL="114300" distR="114300" simplePos="0" relativeHeight="251660288" behindDoc="0" locked="0" layoutInCell="1" allowOverlap="1">
            <wp:simplePos x="0" y="0"/>
            <wp:positionH relativeFrom="column">
              <wp:posOffset>-5715</wp:posOffset>
            </wp:positionH>
            <wp:positionV relativeFrom="paragraph">
              <wp:posOffset>109855</wp:posOffset>
            </wp:positionV>
            <wp:extent cx="5551170" cy="2620010"/>
            <wp:effectExtent l="0" t="0" r="11430" b="8890"/>
            <wp:wrapTopAndBottom/>
            <wp:docPr id="3" name="图片 2" descr="P109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1090180"/>
                    <pic:cNvPicPr>
                      <a:picLocks noChangeAspect="1"/>
                    </pic:cNvPicPr>
                  </pic:nvPicPr>
                  <pic:blipFill>
                    <a:blip r:embed="rId7" cstate="print"/>
                    <a:srcRect l="534" t="5534" r="879" b="4152"/>
                    <a:stretch>
                      <a:fillRect/>
                    </a:stretch>
                  </pic:blipFill>
                  <pic:spPr>
                    <a:xfrm>
                      <a:off x="0" y="0"/>
                      <a:ext cx="5551170" cy="2620010"/>
                    </a:xfrm>
                    <a:prstGeom prst="rect">
                      <a:avLst/>
                    </a:prstGeom>
                    <a:noFill/>
                    <a:ln>
                      <a:noFill/>
                    </a:ln>
                  </pic:spPr>
                </pic:pic>
              </a:graphicData>
            </a:graphic>
          </wp:anchor>
        </w:drawing>
      </w:r>
      <w:r>
        <w:rPr>
          <w:rFonts w:hint="eastAsia" w:ascii="仿宋" w:hAnsi="仿宋" w:eastAsia="仿宋" w:cs="仿宋"/>
          <w:sz w:val="28"/>
          <w:szCs w:val="28"/>
        </w:rPr>
        <w:t>鸟鹊坪矿</w:t>
      </w:r>
      <w:r>
        <w:rPr>
          <w:rFonts w:hint="eastAsia" w:ascii="仿宋" w:hAnsi="仿宋" w:eastAsia="仿宋" w:cs="仿宋"/>
          <w:sz w:val="28"/>
          <w:szCs w:val="28"/>
          <w:lang w:val="eu-ES"/>
        </w:rPr>
        <w:t>段（</w:t>
      </w:r>
      <w:r>
        <w:rPr>
          <w:rFonts w:hint="eastAsia" w:ascii="仿宋" w:hAnsi="仿宋" w:eastAsia="仿宋" w:cs="仿宋"/>
          <w:sz w:val="28"/>
          <w:szCs w:val="28"/>
        </w:rPr>
        <w:t>Ⅱ</w:t>
      </w:r>
      <w:r>
        <w:rPr>
          <w:rFonts w:hint="eastAsia" w:ascii="仿宋" w:hAnsi="仿宋" w:eastAsia="仿宋" w:cs="仿宋"/>
          <w:sz w:val="28"/>
          <w:szCs w:val="28"/>
          <w:lang w:val="eu-ES"/>
        </w:rPr>
        <w:t>）</w:t>
      </w:r>
      <w:r>
        <w:rPr>
          <w:rFonts w:hint="eastAsia" w:ascii="仿宋" w:hAnsi="仿宋" w:eastAsia="仿宋" w:cs="仿宋"/>
          <w:sz w:val="28"/>
          <w:szCs w:val="28"/>
        </w:rPr>
        <w:t>：矿体赋存于蓝田组下段炭质板岩与上段肋骨状白云质灰岩层间破碎带和炭质板岩中，赋矿层位相当稳定。矿体走向出露1800</w:t>
      </w:r>
      <w:r>
        <w:rPr>
          <w:rFonts w:hint="eastAsia" w:ascii="仿宋" w:hAnsi="仿宋" w:eastAsia="仿宋" w:cs="仿宋"/>
          <w:sz w:val="28"/>
          <w:szCs w:val="28"/>
          <w:lang w:val="eu-ES"/>
        </w:rPr>
        <w:t>米</w:t>
      </w:r>
      <w:r>
        <w:rPr>
          <w:rFonts w:hint="eastAsia" w:ascii="仿宋" w:hAnsi="仿宋" w:eastAsia="仿宋" w:cs="仿宋"/>
          <w:sz w:val="28"/>
          <w:szCs w:val="28"/>
        </w:rPr>
        <w:t>，水平宽160米～130米不等，厚2.4～5.4</w:t>
      </w:r>
      <w:r>
        <w:rPr>
          <w:rFonts w:hint="eastAsia" w:ascii="仿宋" w:hAnsi="仿宋" w:eastAsia="仿宋" w:cs="仿宋"/>
          <w:sz w:val="28"/>
          <w:szCs w:val="28"/>
          <w:lang w:val="eu-ES"/>
        </w:rPr>
        <w:t>米</w:t>
      </w:r>
      <w:r>
        <w:rPr>
          <w:rFonts w:hint="eastAsia" w:ascii="仿宋" w:hAnsi="仿宋" w:eastAsia="仿宋" w:cs="仿宋"/>
          <w:sz w:val="28"/>
          <w:szCs w:val="28"/>
        </w:rPr>
        <w:t>，平均厚3.92</w:t>
      </w:r>
      <w:r>
        <w:rPr>
          <w:rFonts w:hint="eastAsia" w:ascii="仿宋" w:hAnsi="仿宋" w:eastAsia="仿宋" w:cs="仿宋"/>
          <w:sz w:val="28"/>
          <w:szCs w:val="28"/>
          <w:lang w:val="eu-ES"/>
        </w:rPr>
        <w:t>米</w:t>
      </w:r>
      <w:r>
        <w:rPr>
          <w:rFonts w:hint="eastAsia" w:ascii="仿宋" w:hAnsi="仿宋" w:eastAsia="仿宋" w:cs="仿宋"/>
          <w:sz w:val="28"/>
          <w:szCs w:val="28"/>
        </w:rPr>
        <w:t>，TS平均品位为14.42～31.43％。</w:t>
      </w:r>
    </w:p>
    <w:p w14:paraId="4BD11098">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矿石质量及成因</w:t>
      </w:r>
    </w:p>
    <w:p w14:paraId="134C000D">
      <w:pPr>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该矿区硫铁矿体主要金属矿物为黄铁矿，少量褐铁矿、黄铜矿等，脉石矿物主要为炭质板岩、泥质板岩及石英等组成。根据矿石中主要硫矿物划分，硫铁矿体矿石自然类型为浸染状黄铁矿矿石、条带状黄铁矿矿石、团块状黄铁矿矿石，其工业类型属化工用硫铁矿矿石，品级以中贫硫矿石为主。矿区矿石工业类型属易选的硫铁矿矿石。</w:t>
      </w:r>
    </w:p>
    <w:p w14:paraId="35E7712B">
      <w:pPr>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硫铁矿体的成因属层控构造热液型矿床。硫铁矿找矿标志有：震旦系上统蓝田组二段炭泥质板岩分布区，围岩蚀变（特别是硅化、黄铁矿化）强烈地区，褶皱虚脱部位及层间构造破碎带发育地段。</w:t>
      </w:r>
    </w:p>
    <w:p w14:paraId="37D4BFAD">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开采技术条件</w:t>
      </w:r>
    </w:p>
    <w:p w14:paraId="747AC185">
      <w:pPr>
        <w:spacing w:line="360" w:lineRule="auto"/>
        <w:ind w:firstLine="560" w:firstLineChars="200"/>
        <w:rPr>
          <w:rFonts w:ascii="仿宋" w:hAnsi="仿宋" w:eastAsia="仿宋" w:cs="仿宋"/>
          <w:sz w:val="28"/>
          <w:szCs w:val="28"/>
        </w:rPr>
      </w:pPr>
      <w:r>
        <w:rPr>
          <w:rFonts w:hint="eastAsia" w:ascii="仿宋" w:hAnsi="仿宋" w:eastAsia="仿宋" w:cs="仿宋"/>
          <w:kern w:val="0"/>
          <w:sz w:val="28"/>
          <w:szCs w:val="28"/>
        </w:rPr>
        <w:t>就整个矿区的开采技术条件而言，其水文地质条件属简单类型、工程地质条件属中等类型及环境地质条件属于良好类型的矿床，所以开采技术条件为中等类型，具备规模化开采基础。</w:t>
      </w:r>
    </w:p>
    <w:p w14:paraId="0CE84CE9">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资源量估算情况</w:t>
      </w:r>
    </w:p>
    <w:p w14:paraId="64798D49">
      <w:pPr>
        <w:pStyle w:val="6"/>
        <w:spacing w:line="46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茶园坪～林安尖段（Ⅰ号）、鸟鹊坪矿段（Ⅱ号），现已求得控制+推断类硫铁矿矿石资源量（茶园坪～林安尖段（Ⅰ）285.68万吨+鸟鹊坪矿段（Ⅱ）115.70万吨）401.38万吨。</w:t>
      </w:r>
    </w:p>
    <w:p w14:paraId="1E933B98">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t>前景分析</w:t>
      </w:r>
    </w:p>
    <w:p w14:paraId="3B642C53">
      <w:pPr>
        <w:widowControl/>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本区成矿地质条件良好，矿产资源丰富，采矿历史有迹可循。在江南隆起带歙县—淳安硫铁、铅锌成矿远景区内，震旦系上统蓝田组二段地层中发现茶园坪～林安尖Ⅰ号硫铁矿体、鸟鹊坪Ⅱ号硫铁矿体；门岭脚矿点亦发现高品位硫铁矿层；区域内街口--鸟鹊坪一带还存在燕山期隐伏岩体，为硫铁矿进一步富集提供了有利地质条件。矿权内硫铁矿体主要赋存于震旦系上统蓝田组二段（Z21²）炭泥质板岩中，呈层状、似层状产出，受层位及褶皱构造控制明显，具有很好的成矿地质条件和找矿前景，进一步开展补充勘查工作，有望扩大矿体规模，增加资源储量，为矿山后续规模化开采提供充足的后备资源。</w:t>
      </w:r>
    </w:p>
    <w:p w14:paraId="45E84091">
      <w:pPr>
        <w:numPr>
          <w:ilvl w:val="0"/>
          <w:numId w:val="1"/>
        </w:numPr>
        <w:spacing w:line="460" w:lineRule="exact"/>
        <w:rPr>
          <w:rFonts w:ascii="仿宋" w:hAnsi="仿宋" w:eastAsia="仿宋" w:cs="仿宋"/>
          <w:b/>
          <w:sz w:val="28"/>
          <w:szCs w:val="28"/>
        </w:rPr>
      </w:pPr>
      <w:r>
        <w:rPr>
          <w:rFonts w:hint="eastAsia" w:ascii="仿宋" w:hAnsi="仿宋" w:eastAsia="仿宋" w:cs="仿宋"/>
          <w:b/>
          <w:sz w:val="28"/>
          <w:szCs w:val="28"/>
        </w:rPr>
        <w:drawing>
          <wp:anchor distT="0" distB="0" distL="114300" distR="114300" simplePos="0" relativeHeight="251663360" behindDoc="0" locked="0" layoutInCell="1" allowOverlap="1">
            <wp:simplePos x="0" y="0"/>
            <wp:positionH relativeFrom="column">
              <wp:posOffset>61595</wp:posOffset>
            </wp:positionH>
            <wp:positionV relativeFrom="paragraph">
              <wp:posOffset>-1217930</wp:posOffset>
            </wp:positionV>
            <wp:extent cx="5252720" cy="3600450"/>
            <wp:effectExtent l="19050" t="0" r="5080" b="0"/>
            <wp:wrapTopAndBottom/>
            <wp:docPr id="7" name="图片 3" descr="SAM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SAM_2931.JPG"/>
                    <pic:cNvPicPr>
                      <a:picLocks noChangeAspect="1"/>
                    </pic:cNvPicPr>
                  </pic:nvPicPr>
                  <pic:blipFill>
                    <a:blip r:embed="rId8" cstate="print"/>
                    <a:stretch>
                      <a:fillRect/>
                    </a:stretch>
                  </pic:blipFill>
                  <pic:spPr>
                    <a:xfrm>
                      <a:off x="0" y="0"/>
                      <a:ext cx="5252720" cy="3600450"/>
                    </a:xfrm>
                    <a:prstGeom prst="rect">
                      <a:avLst/>
                    </a:prstGeom>
                    <a:noFill/>
                    <a:ln>
                      <a:noFill/>
                    </a:ln>
                  </pic:spPr>
                </pic:pic>
              </a:graphicData>
            </a:graphic>
          </wp:anchor>
        </w:drawing>
      </w:r>
      <w:r>
        <w:rPr>
          <w:rFonts w:hint="eastAsia" w:ascii="仿宋" w:hAnsi="仿宋" w:eastAsia="仿宋" w:cs="仿宋"/>
          <w:b/>
          <w:sz w:val="28"/>
          <w:szCs w:val="28"/>
        </w:rPr>
        <w:t>转让方式</w:t>
      </w:r>
    </w:p>
    <w:p w14:paraId="742F55AA">
      <w:pPr>
        <w:spacing w:line="460" w:lineRule="exact"/>
        <w:rPr>
          <w:rFonts w:hint="eastAsia" w:ascii="仿宋" w:hAnsi="仿宋" w:eastAsia="仿宋" w:cs="仿宋"/>
          <w:sz w:val="28"/>
          <w:szCs w:val="28"/>
        </w:rPr>
      </w:pPr>
      <w:r>
        <w:rPr>
          <w:rFonts w:hint="eastAsia" w:ascii="仿宋" w:hAnsi="仿宋" w:eastAsia="仿宋" w:cs="仿宋"/>
          <w:sz w:val="28"/>
          <w:szCs w:val="28"/>
        </w:rPr>
        <w:t>全部出售</w:t>
      </w:r>
    </w:p>
    <w:p w14:paraId="797E10F2">
      <w:pPr>
        <w:spacing w:line="46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联系人：鲁总   13856094342</w:t>
      </w:r>
    </w:p>
    <w:p w14:paraId="3790A078">
      <w:pPr>
        <w:spacing w:line="460" w:lineRule="exact"/>
        <w:rPr>
          <w:rFonts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D0966"/>
    <w:multiLevelType w:val="singleLevel"/>
    <w:tmpl w:val="C5CD09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F13"/>
    <w:rsid w:val="00165E08"/>
    <w:rsid w:val="00295071"/>
    <w:rsid w:val="00365D3C"/>
    <w:rsid w:val="005D7B79"/>
    <w:rsid w:val="007D2B13"/>
    <w:rsid w:val="008520E2"/>
    <w:rsid w:val="008775DF"/>
    <w:rsid w:val="008A411D"/>
    <w:rsid w:val="00A306BD"/>
    <w:rsid w:val="00A71F13"/>
    <w:rsid w:val="00C32348"/>
    <w:rsid w:val="00D37B7B"/>
    <w:rsid w:val="00D937A1"/>
    <w:rsid w:val="00DD221C"/>
    <w:rsid w:val="17D40A02"/>
    <w:rsid w:val="43E74445"/>
    <w:rsid w:val="5A5579DF"/>
    <w:rsid w:val="63707F69"/>
    <w:rsid w:val="7E460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7"/>
    <w:qFormat/>
    <w:uiPriority w:val="0"/>
    <w:rPr>
      <w:rFonts w:ascii="宋体" w:eastAsia="宋体"/>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paragraph" w:styleId="6">
    <w:name w:val="List Paragraph"/>
    <w:basedOn w:val="1"/>
    <w:unhideWhenUsed/>
    <w:uiPriority w:val="99"/>
    <w:pPr>
      <w:ind w:firstLine="420" w:firstLineChars="200"/>
    </w:pPr>
  </w:style>
  <w:style w:type="character" w:customStyle="1" w:styleId="7">
    <w:name w:val="文档结构图 Char"/>
    <w:basedOn w:val="5"/>
    <w:link w:val="2"/>
    <w:qFormat/>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1667</Words>
  <Characters>1790</Characters>
  <Lines>12</Lines>
  <Paragraphs>3</Paragraphs>
  <TotalTime>42</TotalTime>
  <ScaleCrop>false</ScaleCrop>
  <LinksUpToDate>false</LinksUpToDate>
  <CharactersWithSpaces>1796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2026-05-09T03:43:00Z</dcterms:created>
  <dc:creator>Administrator</dc:creator>
  <cp:lastModifiedBy>矿小二刘晓会</cp:lastModifiedBy>
  <dcterms:modified xsi:type="dcterms:W3CDTF">2026-05-13T01:18:52Z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eyJoZGlkIjoiYTFkYTlhYmYwOGUwZGQ1MGU3MTE2N2U5YzdhNjZiYmEiLCJ1c2VySWQiOiI0MzczNjMwNDcifQ==</vt:lpwstr>
  </property>
  <property fmtid="{D5CDD505-2E9C-101B-9397-08002B2CF9AE}" pid="4" name="ICV">
    <vt:lpwstr>878607467DD0406C82AE865395209DC6_13</vt:lpwstr>
  </property>
</Properties>
</file>